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6026" w14:textId="6E9AE938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članka 20. i članka 41. stavak 4. i članka 42. Zakona o lokalnim porezima („Narodne novine“, broj 115/16, 101/17, 114/22</w:t>
      </w:r>
      <w:r w:rsidR="00A6675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114/23</w:t>
      </w:r>
      <w:r w:rsidR="00A66757">
        <w:rPr>
          <w:rFonts w:ascii="Times New Roman" w:hAnsi="Times New Roman"/>
          <w:sz w:val="24"/>
        </w:rPr>
        <w:t xml:space="preserve"> i 152/24</w:t>
      </w:r>
      <w:r>
        <w:rPr>
          <w:rFonts w:ascii="Times New Roman" w:hAnsi="Times New Roman"/>
          <w:sz w:val="24"/>
        </w:rPr>
        <w:t xml:space="preserve">) te članka 30. Statuta Općine Selnica  („Službeni glasnik Međimurske županije“, broj 5/21 i 16/22), Općinsko vijeće Općine Selnica na </w:t>
      </w:r>
      <w:r w:rsidR="00A66757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. sjednici održanoj </w:t>
      </w:r>
      <w:r w:rsidR="00A66757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. godine, donosi</w:t>
      </w:r>
    </w:p>
    <w:p w14:paraId="42B83180" w14:textId="77777777" w:rsidR="002D0A25" w:rsidRDefault="002D0A25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F4FCEF9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Odluku o lokalnim porezima </w:t>
      </w:r>
    </w:p>
    <w:p w14:paraId="23C3E746" w14:textId="77777777" w:rsidR="002D0A25" w:rsidRDefault="00047711">
      <w:pPr>
        <w:spacing w:line="240" w:lineRule="auto"/>
        <w:jc w:val="center"/>
        <w:rPr>
          <w:b/>
          <w:sz w:val="24"/>
        </w:rPr>
      </w:pPr>
      <w:r>
        <w:rPr>
          <w:rFonts w:ascii="Times New Roman" w:hAnsi="Times New Roman"/>
          <w:b/>
          <w:sz w:val="24"/>
        </w:rPr>
        <w:t>Općine Selnice</w:t>
      </w:r>
    </w:p>
    <w:p w14:paraId="2D8C207A" w14:textId="77777777" w:rsidR="002D0A25" w:rsidRDefault="0004771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OPĆA ODREDBA</w:t>
      </w:r>
    </w:p>
    <w:p w14:paraId="73C6BD10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2A4FF95D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1.</w:t>
      </w:r>
    </w:p>
    <w:p w14:paraId="591E23A6" w14:textId="7777777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Ovom se Odlukom propisuju vrste poreza koje pripadaju Općini Selnica, visina stope poreza na potrošnju, visina poreza na kuće za odmor, predmet oporezivanja porezom na korištenje javnih površina, kao i visina, način i uvjeti plaćanja poreza na korištenje javnih površina te nadležno porezno tijelo za utvrđivanje, evidentiranje, nadzor, naplatu i ovrhu radi naplate navedenih poreza.</w:t>
      </w:r>
    </w:p>
    <w:p w14:paraId="744A805A" w14:textId="77777777" w:rsidR="002D0A25" w:rsidRDefault="002D0A25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92AEFDC" w14:textId="7777777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Riječi i pojmovi u ovoj Odluci koji imaju rodno značenje odnose se jednako na muški i ženski rod, bez obzira u kojem su rodu navedeni.</w:t>
      </w:r>
    </w:p>
    <w:p w14:paraId="2F40ABCE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5F0BD25A" w14:textId="77777777" w:rsidR="002D0A25" w:rsidRDefault="0004771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VRSTE POREZA</w:t>
      </w:r>
    </w:p>
    <w:p w14:paraId="6391C2B3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69E73E77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2.</w:t>
      </w:r>
    </w:p>
    <w:p w14:paraId="67545B95" w14:textId="77777777" w:rsidR="002D0A25" w:rsidRDefault="000477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Lokalni porezi Općine Selnica jesu:</w:t>
      </w:r>
    </w:p>
    <w:p w14:paraId="2A4A42BD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7DEF1DCE" w14:textId="77777777" w:rsidR="002D0A25" w:rsidRDefault="000477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porez na potrošnju,</w:t>
      </w:r>
    </w:p>
    <w:p w14:paraId="59575D2C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079E4C36" w14:textId="3BED9BBE" w:rsidR="002D0A25" w:rsidRDefault="000477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porez na </w:t>
      </w:r>
      <w:r w:rsidR="00A66757">
        <w:rPr>
          <w:rFonts w:ascii="Times New Roman" w:hAnsi="Times New Roman"/>
          <w:sz w:val="24"/>
        </w:rPr>
        <w:t>nekretnine</w:t>
      </w:r>
      <w:r>
        <w:rPr>
          <w:rFonts w:ascii="Times New Roman" w:hAnsi="Times New Roman"/>
          <w:sz w:val="24"/>
        </w:rPr>
        <w:t>,</w:t>
      </w:r>
    </w:p>
    <w:p w14:paraId="5EDE6452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14BB7A2E" w14:textId="77777777" w:rsidR="002D0A25" w:rsidRDefault="000477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porez na korištenje javnih površina.</w:t>
      </w:r>
    </w:p>
    <w:p w14:paraId="774AE8C3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0FD06792" w14:textId="77777777" w:rsidR="002D0A25" w:rsidRDefault="0004771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POREZ NA POTROŠNJU</w:t>
      </w:r>
    </w:p>
    <w:p w14:paraId="492200B7" w14:textId="77777777" w:rsidR="002D0A25" w:rsidRDefault="002D0A25">
      <w:pPr>
        <w:spacing w:line="240" w:lineRule="auto"/>
        <w:rPr>
          <w:rFonts w:ascii="Times New Roman" w:hAnsi="Times New Roman"/>
          <w:b/>
          <w:sz w:val="24"/>
        </w:rPr>
      </w:pPr>
    </w:p>
    <w:p w14:paraId="38823A8E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3.</w:t>
      </w:r>
    </w:p>
    <w:p w14:paraId="770D3DC3" w14:textId="77777777" w:rsidR="002D0A25" w:rsidRDefault="0004771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Stopa poreza na potrošnju iznosi 3 %.</w:t>
      </w:r>
    </w:p>
    <w:p w14:paraId="52075C6C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7F717B5D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Članak 4.</w:t>
      </w:r>
    </w:p>
    <w:p w14:paraId="3F96A0B6" w14:textId="7777777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Poslove utvrđivanja, evidentiranja, nadzora, naplate i ovrhe radi naplate poreza na potrošnju obavlja Ministarstvo financija, nadležna ispostava Porezne uprave.</w:t>
      </w:r>
    </w:p>
    <w:p w14:paraId="10A03EC3" w14:textId="77777777" w:rsidR="002D0A25" w:rsidRDefault="002D0A25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E946DBE" w14:textId="77777777" w:rsidR="002D0A25" w:rsidRDefault="0004771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POREZ NA KUĆE ZA ODMOR</w:t>
      </w:r>
    </w:p>
    <w:p w14:paraId="4F4306FC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596FE037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5.</w:t>
      </w:r>
    </w:p>
    <w:p w14:paraId="33F982AF" w14:textId="7F3012FF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Porez na kuće za odmor plaća se u iznosu od </w:t>
      </w:r>
      <w:r w:rsidR="00A66757">
        <w:rPr>
          <w:rFonts w:ascii="Times New Roman" w:hAnsi="Times New Roman"/>
          <w:sz w:val="24"/>
        </w:rPr>
        <w:t>2,5</w:t>
      </w:r>
      <w:r>
        <w:rPr>
          <w:rFonts w:ascii="Times New Roman" w:hAnsi="Times New Roman"/>
          <w:sz w:val="24"/>
        </w:rPr>
        <w:t xml:space="preserve"> eura po četvornom metru (m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) korisne površine </w:t>
      </w:r>
      <w:r w:rsidR="00A66757">
        <w:rPr>
          <w:rFonts w:ascii="Times New Roman" w:hAnsi="Times New Roman"/>
          <w:sz w:val="24"/>
        </w:rPr>
        <w:t>nekretnine, određene propisom koji se uređuju uvjeti i mjerila za izračun zaštićene najamnine</w:t>
      </w:r>
      <w:r>
        <w:rPr>
          <w:rFonts w:ascii="Times New Roman" w:hAnsi="Times New Roman"/>
          <w:sz w:val="24"/>
        </w:rPr>
        <w:t>.</w:t>
      </w:r>
    </w:p>
    <w:p w14:paraId="06175236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47B9A4E7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6.</w:t>
      </w:r>
    </w:p>
    <w:p w14:paraId="37F8101B" w14:textId="7777777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Poslove utvrđivanja, evidentiranja, nadzora, naplate i ovrhe radi naplate poreza na potrošnju obavlja Ministarstvo financija, nadležna ispostava Porezne uprave.</w:t>
      </w:r>
    </w:p>
    <w:p w14:paraId="428E9BA6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73F5FFDA" w14:textId="77777777" w:rsidR="002D0A25" w:rsidRDefault="0004771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POREZ NA KORIŠTENJE JAVNIH POVRŠINA</w:t>
      </w:r>
    </w:p>
    <w:p w14:paraId="3F653226" w14:textId="77777777" w:rsidR="002D0A25" w:rsidRDefault="002D0A25">
      <w:pPr>
        <w:spacing w:line="240" w:lineRule="auto"/>
        <w:rPr>
          <w:rFonts w:ascii="Times New Roman" w:hAnsi="Times New Roman"/>
          <w:b/>
          <w:sz w:val="24"/>
        </w:rPr>
      </w:pPr>
    </w:p>
    <w:p w14:paraId="2841C1A2" w14:textId="77777777" w:rsidR="002D0A25" w:rsidRDefault="00047711">
      <w:pPr>
        <w:pStyle w:val="Odlomakpopisa"/>
        <w:spacing w:line="276" w:lineRule="auto"/>
        <w:contextualSpacing/>
        <w:jc w:val="center"/>
        <w:rPr>
          <w:rFonts w:ascii="Calibri" w:hAnsi="Calibri"/>
          <w:b/>
        </w:rPr>
      </w:pPr>
      <w:r>
        <w:rPr>
          <w:b/>
        </w:rPr>
        <w:t>Članak 7.</w:t>
      </w:r>
    </w:p>
    <w:p w14:paraId="7DAE37EB" w14:textId="77777777" w:rsidR="002D0A25" w:rsidRDefault="00047711">
      <w:pPr>
        <w:pStyle w:val="Odlomakpopisa"/>
        <w:spacing w:line="276" w:lineRule="auto"/>
        <w:contextualSpacing/>
        <w:jc w:val="both"/>
      </w:pPr>
      <w:r>
        <w:t>Javnim površinama u smislu ove Odluke smatraju se zemljišta unutar građevinskog područja Općine Selnica koja su sukladno prostorno-planskoj dokumentaciji namijenjena općoj uporabi (ulice, pješačke staze, parkirališta, trgovi, parkovi,  igrališta, zelene površine i sl.).</w:t>
      </w:r>
    </w:p>
    <w:p w14:paraId="1FA42AEF" w14:textId="77777777" w:rsidR="002D0A25" w:rsidRDefault="002D0A25">
      <w:pPr>
        <w:pStyle w:val="Odlomakpopisa"/>
        <w:spacing w:line="276" w:lineRule="auto"/>
        <w:contextualSpacing/>
        <w:jc w:val="both"/>
        <w:rPr>
          <w:rFonts w:ascii="Calibri" w:hAnsi="Calibri"/>
          <w:b/>
        </w:rPr>
      </w:pPr>
    </w:p>
    <w:p w14:paraId="780FD056" w14:textId="77777777" w:rsidR="002D0A25" w:rsidRDefault="00047711">
      <w:pPr>
        <w:pStyle w:val="Odlomakpopisa"/>
        <w:spacing w:line="276" w:lineRule="auto"/>
        <w:contextualSpacing/>
        <w:jc w:val="center"/>
        <w:rPr>
          <w:b/>
        </w:rPr>
      </w:pPr>
      <w:r>
        <w:rPr>
          <w:b/>
        </w:rPr>
        <w:t>Članak 8.</w:t>
      </w:r>
    </w:p>
    <w:p w14:paraId="11B87851" w14:textId="7777777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Porez na korištenje javnih površina plaća se na po četvornom metru (m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) površine koja se koristi,  i to na sljedeći način:</w:t>
      </w:r>
    </w:p>
    <w:p w14:paraId="6CEC85AD" w14:textId="77777777" w:rsidR="002D0A25" w:rsidRDefault="00047711">
      <w:pPr>
        <w:pStyle w:val="Odlomakpopisa"/>
        <w:numPr>
          <w:ilvl w:val="0"/>
          <w:numId w:val="1"/>
        </w:numPr>
        <w:spacing w:line="276" w:lineRule="auto"/>
        <w:contextualSpacing/>
        <w:jc w:val="both"/>
        <w:rPr>
          <w:b/>
        </w:rPr>
      </w:pPr>
      <w:r>
        <w:t>za korištenje javnih površina u svrhu parkiranja većih kombi vozila, strojeva i svih ostalih teretnih vozila i njihovih priključnih dijelova fizičkih i pravnih osoba s područja Općine Selnica zaračunava se porez na korištenje javnih površina u iznosu od 0,66 eura/m</w:t>
      </w:r>
      <w:r>
        <w:rPr>
          <w:vertAlign w:val="superscript"/>
        </w:rPr>
        <w:t>2</w:t>
      </w:r>
      <w:r>
        <w:t xml:space="preserve"> mjesečno.</w:t>
      </w:r>
    </w:p>
    <w:p w14:paraId="48D13E46" w14:textId="77777777" w:rsidR="002D0A25" w:rsidRDefault="002D0A25">
      <w:pPr>
        <w:pStyle w:val="Odlomakpopisa"/>
        <w:spacing w:line="276" w:lineRule="auto"/>
        <w:ind w:left="720" w:hanging="360"/>
        <w:contextualSpacing/>
        <w:jc w:val="both"/>
        <w:rPr>
          <w:b/>
        </w:rPr>
      </w:pPr>
    </w:p>
    <w:p w14:paraId="1E4EEA29" w14:textId="77777777" w:rsidR="002D0A25" w:rsidRDefault="00047711">
      <w:pPr>
        <w:pStyle w:val="Odlomakpopisa"/>
        <w:spacing w:line="276" w:lineRule="auto"/>
        <w:contextualSpacing/>
        <w:jc w:val="center"/>
        <w:rPr>
          <w:rFonts w:ascii="Calibri" w:hAnsi="Calibri"/>
          <w:b/>
        </w:rPr>
      </w:pPr>
      <w:r>
        <w:rPr>
          <w:b/>
        </w:rPr>
        <w:t>Članak 9.</w:t>
      </w:r>
    </w:p>
    <w:p w14:paraId="5479DB7E" w14:textId="77777777" w:rsidR="002D0A25" w:rsidRDefault="00047711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korištenje javnih površina u vrijeme javnih manifestacija (Dani općine, proštenja i drugo) plaćaju se sljedeći iznosi poreza na korištenja javnih površina po danu:</w:t>
      </w:r>
    </w:p>
    <w:p w14:paraId="61E65E3E" w14:textId="77777777" w:rsidR="002D0A25" w:rsidRDefault="002D0A25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</w:p>
    <w:p w14:paraId="5DBA58D2" w14:textId="77777777" w:rsidR="002D0A25" w:rsidRDefault="0004771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prodaja bižuterije, dječjih igračaka i slično te povremeno korištenje terasa i otvorenih prostora te prodavaonica na otvorenom (voćarnice, ugostiteljske terase i slično) za područje Općine Selnica, u slučajevima kada se javna površina koristi do 3 dana uzastopno:</w:t>
      </w:r>
    </w:p>
    <w:p w14:paraId="50EE6A7F" w14:textId="77777777" w:rsidR="002D0A25" w:rsidRDefault="00047711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13,27 eura dnevno za pokretne radnje koje prodaju obavljaju na stolovima dužine do 6 m, </w:t>
      </w:r>
    </w:p>
    <w:p w14:paraId="65786DCA" w14:textId="77777777" w:rsidR="002D0A25" w:rsidRDefault="00047711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19,90 eura dnevno za pokretne radnje koje prodaju obavljaju na stolovima dužima od 6 m,</w:t>
      </w:r>
    </w:p>
    <w:p w14:paraId="5818CE8D" w14:textId="77777777" w:rsidR="002D0A25" w:rsidRDefault="00047711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19,90 eura dnevno za ugostiteljske terase</w:t>
      </w:r>
    </w:p>
    <w:p w14:paraId="4AB8CDD7" w14:textId="77777777" w:rsidR="002D0A25" w:rsidRDefault="00047711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ugostiteljske usluge – 19,90 eura  po radnji;</w:t>
      </w:r>
    </w:p>
    <w:p w14:paraId="2EBD8A0C" w14:textId="77777777" w:rsidR="002D0A25" w:rsidRDefault="00047711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zabavni centar, zabavne i putujuće radnje</w:t>
      </w:r>
    </w:p>
    <w:p w14:paraId="3865B923" w14:textId="77777777" w:rsidR="002D0A25" w:rsidRDefault="00047711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10,00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– 0,26 eura/m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po danu</w:t>
      </w:r>
    </w:p>
    <w:p w14:paraId="317C5832" w14:textId="77777777" w:rsidR="002D0A25" w:rsidRDefault="00047711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11,00 do 500,00 m</w:t>
      </w:r>
      <w:r>
        <w:rPr>
          <w:rFonts w:ascii="Times New Roman" w:hAnsi="Times New Roman"/>
          <w:sz w:val="24"/>
          <w:vertAlign w:val="superscript"/>
        </w:rPr>
        <w:t xml:space="preserve">2  </w:t>
      </w:r>
      <w:r>
        <w:rPr>
          <w:rFonts w:ascii="Times New Roman" w:hAnsi="Times New Roman"/>
          <w:sz w:val="24"/>
        </w:rPr>
        <w:t>- za prvih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 xml:space="preserve"> 10,00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prema prethodnoj točci za svaki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iznad 10,00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obračunava se 0,13 eura /m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po danu</w:t>
      </w:r>
    </w:p>
    <w:p w14:paraId="0A503FE6" w14:textId="77777777" w:rsidR="002D0A25" w:rsidRDefault="00047711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iznad 500,00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 xml:space="preserve"> - za prvih 500,00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 xml:space="preserve"> prema prethodne dvije točke, za svaki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iznad 500,00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obračunava se 0,066 eura/m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po danu</w:t>
      </w:r>
    </w:p>
    <w:p w14:paraId="43B003D7" w14:textId="77777777" w:rsidR="002D0A25" w:rsidRDefault="00047711">
      <w:pPr>
        <w:spacing w:line="276" w:lineRule="auto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>4. prodaja prehrambenih proizvoda, kikirikija, sladoleda i slično, kao ostali štandovi ukoliko obavljaju djelatnost na jednom mjestu bez pomicanja u tijeku dana – 6,64 eura/m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po danu, minimalna površina za obračun iznosi 1,00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</w:t>
      </w:r>
    </w:p>
    <w:p w14:paraId="52902C2A" w14:textId="77777777" w:rsidR="002D0A25" w:rsidRDefault="00047711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korištenje terasa i otvorenih prostora te prodavaonica na otvorenom (voćarnice, ugostiteljske terase i slično) za područje Općine Selnica kada se javna površina koristi duže od 3 uzastopna dana u godini – 0,13 eura/m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po danu.</w:t>
      </w:r>
    </w:p>
    <w:p w14:paraId="7FFB3805" w14:textId="77777777" w:rsidR="002D0A25" w:rsidRDefault="002D0A25">
      <w:pPr>
        <w:spacing w:line="276" w:lineRule="auto"/>
        <w:contextualSpacing/>
        <w:jc w:val="both"/>
        <w:rPr>
          <w:rFonts w:ascii="Times New Roman" w:hAnsi="Times New Roman"/>
          <w:sz w:val="24"/>
        </w:rPr>
      </w:pPr>
    </w:p>
    <w:p w14:paraId="63A1262E" w14:textId="77777777" w:rsidR="002D0A25" w:rsidRDefault="00047711">
      <w:pPr>
        <w:spacing w:line="276" w:lineRule="auto"/>
        <w:contextualSpacing/>
        <w:jc w:val="both"/>
        <w:rPr>
          <w:sz w:val="24"/>
        </w:rPr>
      </w:pPr>
      <w:r>
        <w:rPr>
          <w:rFonts w:ascii="Times New Roman" w:hAnsi="Times New Roman"/>
          <w:sz w:val="24"/>
        </w:rPr>
        <w:t>Od plaćanja poreza iz ovog članka izuzete su udruge građana čije je sjedište na području Općine Selnica i tradicijski obrti s područja Općine Selnica.</w:t>
      </w:r>
    </w:p>
    <w:p w14:paraId="3842910C" w14:textId="77777777" w:rsidR="002D0A25" w:rsidRDefault="002D0A25">
      <w:pPr>
        <w:spacing w:line="240" w:lineRule="auto"/>
        <w:rPr>
          <w:rFonts w:ascii="Times New Roman" w:hAnsi="Times New Roman"/>
          <w:b/>
          <w:sz w:val="24"/>
        </w:rPr>
      </w:pPr>
    </w:p>
    <w:p w14:paraId="6CC34722" w14:textId="77777777" w:rsidR="002D0A25" w:rsidRDefault="00047711">
      <w:pPr>
        <w:pStyle w:val="Odlomakpopisa"/>
        <w:spacing w:line="276" w:lineRule="auto"/>
        <w:contextualSpacing/>
        <w:jc w:val="center"/>
        <w:rPr>
          <w:rFonts w:ascii="Calibri" w:hAnsi="Calibri"/>
          <w:b/>
        </w:rPr>
      </w:pPr>
      <w:r>
        <w:rPr>
          <w:b/>
        </w:rPr>
        <w:t>Članak 10.</w:t>
      </w:r>
    </w:p>
    <w:p w14:paraId="1A8CD206" w14:textId="7777777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Poslove utvrđivanja, evidentiranja, nadzora, naplate i ovrhe radi naplate poreza na korištenje javnih površina obavlja Jedinstveni upravni odjel Općine Selnica.</w:t>
      </w:r>
    </w:p>
    <w:p w14:paraId="2761EE99" w14:textId="77777777" w:rsidR="002D0A25" w:rsidRDefault="002D0A25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30B22D2" w14:textId="77777777" w:rsidR="002D0A25" w:rsidRDefault="00047711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 DAVANJE OVLASTI FINA-i</w:t>
      </w:r>
    </w:p>
    <w:p w14:paraId="0D43B7D2" w14:textId="77777777" w:rsidR="002D0A25" w:rsidRDefault="002D0A2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79EFAB8F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11.</w:t>
      </w:r>
    </w:p>
    <w:p w14:paraId="7A957698" w14:textId="7777777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52F3A9EA" w14:textId="77777777" w:rsidR="002D0A25" w:rsidRDefault="002D0A25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14:paraId="68CA6A38" w14:textId="77777777" w:rsidR="002D0A25" w:rsidRDefault="0004771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 PRIJELAZNE I ZAVRŠNE ODREDBE</w:t>
      </w:r>
    </w:p>
    <w:p w14:paraId="3859DBFB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6A590CC4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754B9A36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12.</w:t>
      </w:r>
    </w:p>
    <w:p w14:paraId="5E653C0A" w14:textId="4DFACE80" w:rsidR="002D0A25" w:rsidRDefault="00A66757">
      <w:pPr>
        <w:spacing w:line="240" w:lineRule="auto"/>
        <w:rPr>
          <w:rFonts w:ascii="Times New Roman" w:hAnsi="Times New Roman"/>
          <w:sz w:val="24"/>
        </w:rPr>
      </w:pPr>
      <w:r w:rsidRPr="001B695F">
        <w:rPr>
          <w:rFonts w:ascii="Times New Roman" w:hAnsi="Times New Roman"/>
          <w:sz w:val="24"/>
          <w:szCs w:val="24"/>
        </w:rPr>
        <w:t>Na sva pitanja koja nisu uređena ovom Odlukom primjenjuje se Zakon o lokalnim porezima i Opći porezni zakon.</w:t>
      </w:r>
    </w:p>
    <w:p w14:paraId="6CBD3AC0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13.</w:t>
      </w:r>
    </w:p>
    <w:p w14:paraId="3283BFE7" w14:textId="18F85337" w:rsidR="002D0A25" w:rsidRDefault="0004771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Danom stupanja na snagu ove Odluke prestaje važiti Odluka o općinskim porezima Općine Selnica („Službeni glasnik Međimurske županije“, broj </w:t>
      </w:r>
      <w:r w:rsidR="00A66757">
        <w:rPr>
          <w:rFonts w:ascii="Times New Roman" w:hAnsi="Times New Roman"/>
          <w:sz w:val="24"/>
        </w:rPr>
        <w:t>27/23</w:t>
      </w:r>
      <w:r>
        <w:rPr>
          <w:rFonts w:ascii="Times New Roman" w:hAnsi="Times New Roman"/>
          <w:sz w:val="24"/>
        </w:rPr>
        <w:t>).</w:t>
      </w:r>
    </w:p>
    <w:p w14:paraId="0365C6FB" w14:textId="77777777" w:rsidR="002D0A25" w:rsidRDefault="002D0A25">
      <w:pPr>
        <w:spacing w:line="240" w:lineRule="auto"/>
        <w:rPr>
          <w:rFonts w:ascii="Times New Roman" w:hAnsi="Times New Roman"/>
          <w:sz w:val="24"/>
        </w:rPr>
      </w:pPr>
    </w:p>
    <w:p w14:paraId="728F384A" w14:textId="77777777" w:rsidR="002D0A25" w:rsidRDefault="0004771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Članak 14.</w:t>
      </w:r>
    </w:p>
    <w:p w14:paraId="78E861B2" w14:textId="77777777" w:rsidR="00A66757" w:rsidRPr="001B695F" w:rsidRDefault="00A66757" w:rsidP="00A66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5F">
        <w:rPr>
          <w:rFonts w:ascii="Times New Roman" w:hAnsi="Times New Roman"/>
          <w:sz w:val="24"/>
          <w:szCs w:val="24"/>
        </w:rPr>
        <w:t xml:space="preserve">Ova Odluka stupa na snagu osmog dana od dana objave u „Službenom glasniku Međimurske županije“. </w:t>
      </w:r>
    </w:p>
    <w:p w14:paraId="74E4BB9C" w14:textId="77777777" w:rsidR="002D0A25" w:rsidRDefault="002D0A25">
      <w:pPr>
        <w:spacing w:line="240" w:lineRule="auto"/>
        <w:contextualSpacing/>
        <w:jc w:val="both"/>
        <w:rPr>
          <w:sz w:val="24"/>
        </w:rPr>
      </w:pPr>
    </w:p>
    <w:p w14:paraId="05FE3D25" w14:textId="77777777" w:rsidR="002D0A25" w:rsidRDefault="002D0A25">
      <w:pPr>
        <w:spacing w:line="240" w:lineRule="auto"/>
        <w:contextualSpacing/>
        <w:jc w:val="both"/>
        <w:rPr>
          <w:sz w:val="24"/>
        </w:rPr>
      </w:pPr>
    </w:p>
    <w:p w14:paraId="057C7675" w14:textId="3E216490" w:rsidR="002D0A25" w:rsidRDefault="00A66757">
      <w:pPr>
        <w:widowControl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Predsjednik</w:t>
      </w:r>
    </w:p>
    <w:p w14:paraId="12D91AF5" w14:textId="77777777" w:rsidR="002D0A25" w:rsidRDefault="00047711">
      <w:pPr>
        <w:widowControl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Općinskog vijeća</w:t>
      </w:r>
    </w:p>
    <w:p w14:paraId="2DEBE22D" w14:textId="751B0B6E" w:rsidR="002D0A25" w:rsidRDefault="00047711">
      <w:pPr>
        <w:widowControl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</w:t>
      </w:r>
      <w:r w:rsidR="00A66757">
        <w:rPr>
          <w:rFonts w:ascii="Times New Roman" w:hAnsi="Times New Roman"/>
          <w:sz w:val="24"/>
        </w:rPr>
        <w:t xml:space="preserve">Davor </w:t>
      </w:r>
      <w:proofErr w:type="spellStart"/>
      <w:r w:rsidR="00A66757">
        <w:rPr>
          <w:rFonts w:ascii="Times New Roman" w:hAnsi="Times New Roman"/>
          <w:sz w:val="24"/>
        </w:rPr>
        <w:t>Debelec</w:t>
      </w:r>
      <w:proofErr w:type="spellEnd"/>
    </w:p>
    <w:p w14:paraId="37760DB9" w14:textId="0A2C9446" w:rsidR="00B16DB3" w:rsidRDefault="00047711">
      <w:pPr>
        <w:widowControl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</w:p>
    <w:p w14:paraId="18E87516" w14:textId="6B40FB32" w:rsidR="00B16DB3" w:rsidRDefault="00B16DB3">
      <w:pPr>
        <w:widowControl w:val="0"/>
        <w:spacing w:line="240" w:lineRule="auto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Urbroj</w:t>
      </w:r>
      <w:proofErr w:type="spellEnd"/>
      <w:r>
        <w:rPr>
          <w:rFonts w:ascii="Times New Roman" w:hAnsi="Times New Roman"/>
          <w:sz w:val="24"/>
        </w:rPr>
        <w:t xml:space="preserve">: </w:t>
      </w:r>
    </w:p>
    <w:p w14:paraId="2977E824" w14:textId="36F1AF17" w:rsidR="002D0A25" w:rsidRDefault="00047711">
      <w:pPr>
        <w:widowControl w:val="0"/>
        <w:spacing w:line="240" w:lineRule="auto"/>
        <w:contextualSpacing/>
      </w:pPr>
      <w:r>
        <w:rPr>
          <w:rFonts w:ascii="Times New Roman" w:hAnsi="Times New Roman"/>
          <w:sz w:val="24"/>
        </w:rPr>
        <w:t xml:space="preserve">Selnica, </w:t>
      </w:r>
    </w:p>
    <w:p w14:paraId="78117169" w14:textId="77777777" w:rsidR="002D0A25" w:rsidRDefault="002D0A2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038BC29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2B9743D7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65126BDD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0EC0F88C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1C0BBE9F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099C903D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565629A8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42890665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1DC72DE8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7D38CF41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0773F6BD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06CD6989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11565B14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38F0CB7C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08BB16E3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0C69B6D8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4E982EAC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3F434AC9" w14:textId="77777777" w:rsidR="002D0A25" w:rsidRDefault="002D0A25">
      <w:pPr>
        <w:spacing w:after="0" w:line="240" w:lineRule="auto"/>
        <w:rPr>
          <w:rFonts w:ascii="Times New Roman" w:hAnsi="Times New Roman"/>
          <w:i/>
        </w:rPr>
      </w:pPr>
    </w:p>
    <w:p w14:paraId="1398D3BE" w14:textId="77777777" w:rsidR="002D0A25" w:rsidRDefault="002D0A25">
      <w:pPr>
        <w:spacing w:after="0" w:line="240" w:lineRule="auto"/>
        <w:rPr>
          <w:rFonts w:ascii="Times New Roman" w:hAnsi="Times New Roman"/>
          <w:sz w:val="24"/>
        </w:rPr>
      </w:pPr>
    </w:p>
    <w:sectPr w:rsidR="002D0A25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BD90F" w14:textId="77777777" w:rsidR="00047711" w:rsidRDefault="00047711">
      <w:pPr>
        <w:spacing w:after="0" w:line="240" w:lineRule="auto"/>
      </w:pPr>
      <w:r>
        <w:separator/>
      </w:r>
    </w:p>
  </w:endnote>
  <w:endnote w:type="continuationSeparator" w:id="0">
    <w:p w14:paraId="69D8D8FE" w14:textId="77777777" w:rsidR="00047711" w:rsidRDefault="0004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F83FF" w14:textId="77777777" w:rsidR="00047711" w:rsidRDefault="00047711">
      <w:pPr>
        <w:spacing w:after="0" w:line="240" w:lineRule="auto"/>
      </w:pPr>
      <w:r>
        <w:separator/>
      </w:r>
    </w:p>
  </w:footnote>
  <w:footnote w:type="continuationSeparator" w:id="0">
    <w:p w14:paraId="13FD9441" w14:textId="77777777" w:rsidR="00047711" w:rsidRDefault="0004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9B7CA" w14:textId="16B6D1C9" w:rsidR="002D0A25" w:rsidRDefault="002D0A25">
    <w:pPr>
      <w:pStyle w:val="Zaglavlje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E1A1" w14:textId="7E9ACCD4" w:rsidR="002D0A25" w:rsidRDefault="002D0A2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1406D4A"/>
    <w:lvl w:ilvl="0" w:tplc="2C703AC2">
      <w:start w:val="5"/>
      <w:numFmt w:val="bullet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C660D4A"/>
    <w:lvl w:ilvl="0" w:tplc="041A000F">
      <w:start w:val="1"/>
      <w:numFmt w:val="decimal"/>
      <w:lvlText w:val="%1."/>
      <w:lvlJc w:val="left"/>
      <w:pPr>
        <w:spacing w:beforeAutospacing="0" w:afterAutospacing="0" w:line="240" w:lineRule="auto"/>
        <w:ind w:left="360" w:hanging="360"/>
      </w:pPr>
    </w:lvl>
    <w:lvl w:ilvl="1" w:tplc="041A0019">
      <w:start w:val="1"/>
      <w:numFmt w:val="lowerLetter"/>
      <w:lvlText w:val="%2."/>
      <w:lvlJc w:val="left"/>
      <w:pPr>
        <w:spacing w:beforeAutospacing="0" w:afterAutospacing="0" w:line="240" w:lineRule="auto"/>
        <w:ind w:left="1080" w:hanging="360"/>
      </w:pPr>
    </w:lvl>
    <w:lvl w:ilvl="2" w:tplc="041A001B">
      <w:start w:val="1"/>
      <w:numFmt w:val="lowerRoman"/>
      <w:lvlText w:val="%3."/>
      <w:lvlJc w:val="right"/>
      <w:pPr>
        <w:spacing w:beforeAutospacing="0" w:afterAutospacing="0" w:line="240" w:lineRule="auto"/>
        <w:ind w:left="1800" w:hanging="180"/>
      </w:pPr>
    </w:lvl>
    <w:lvl w:ilvl="3" w:tplc="041A000F">
      <w:start w:val="1"/>
      <w:numFmt w:val="decimal"/>
      <w:lvlText w:val="%4."/>
      <w:lvlJc w:val="left"/>
      <w:pPr>
        <w:spacing w:beforeAutospacing="0" w:afterAutospacing="0" w:line="240" w:lineRule="auto"/>
        <w:ind w:left="2520" w:hanging="360"/>
      </w:pPr>
    </w:lvl>
    <w:lvl w:ilvl="4" w:tplc="041A0019">
      <w:start w:val="1"/>
      <w:numFmt w:val="lowerLetter"/>
      <w:lvlText w:val="%5."/>
      <w:lvlJc w:val="left"/>
      <w:pPr>
        <w:spacing w:beforeAutospacing="0" w:afterAutospacing="0" w:line="240" w:lineRule="auto"/>
        <w:ind w:left="3240" w:hanging="360"/>
      </w:pPr>
    </w:lvl>
    <w:lvl w:ilvl="5" w:tplc="041A001B">
      <w:start w:val="1"/>
      <w:numFmt w:val="lowerRoman"/>
      <w:lvlText w:val="%6."/>
      <w:lvlJc w:val="right"/>
      <w:pPr>
        <w:spacing w:beforeAutospacing="0" w:afterAutospacing="0" w:line="240" w:lineRule="auto"/>
        <w:ind w:left="3960" w:hanging="180"/>
      </w:pPr>
    </w:lvl>
    <w:lvl w:ilvl="6" w:tplc="041A000F">
      <w:start w:val="1"/>
      <w:numFmt w:val="decimal"/>
      <w:lvlText w:val="%7."/>
      <w:lvlJc w:val="left"/>
      <w:pPr>
        <w:spacing w:beforeAutospacing="0" w:afterAutospacing="0" w:line="240" w:lineRule="auto"/>
        <w:ind w:left="4680" w:hanging="360"/>
      </w:pPr>
    </w:lvl>
    <w:lvl w:ilvl="7" w:tplc="041A0019">
      <w:start w:val="1"/>
      <w:numFmt w:val="lowerLetter"/>
      <w:lvlText w:val="%8."/>
      <w:lvlJc w:val="left"/>
      <w:pPr>
        <w:spacing w:beforeAutospacing="0" w:afterAutospacing="0" w:line="240" w:lineRule="auto"/>
        <w:ind w:left="5400" w:hanging="360"/>
      </w:pPr>
    </w:lvl>
    <w:lvl w:ilvl="8" w:tplc="041A001B">
      <w:start w:val="1"/>
      <w:numFmt w:val="lowerRoman"/>
      <w:lvlText w:val="%9."/>
      <w:lvlJc w:val="right"/>
      <w:pPr>
        <w:spacing w:beforeAutospacing="0" w:afterAutospacing="0" w:line="240" w:lineRule="auto"/>
        <w:ind w:left="6120" w:hanging="180"/>
      </w:pPr>
    </w:lvl>
  </w:abstractNum>
  <w:abstractNum w:abstractNumId="2" w15:restartNumberingAfterBreak="0">
    <w:nsid w:val="00000003"/>
    <w:multiLevelType w:val="hybridMultilevel"/>
    <w:tmpl w:val="3DBA985A"/>
    <w:lvl w:ilvl="0" w:tplc="041A0017">
      <w:start w:val="1"/>
      <w:numFmt w:val="lowerLetter"/>
      <w:lvlText w:val="%1)"/>
      <w:lvlJc w:val="left"/>
      <w:pPr>
        <w:spacing w:beforeAutospacing="0" w:afterAutospacing="0" w:line="240" w:lineRule="auto"/>
        <w:ind w:left="720" w:hanging="360"/>
      </w:pPr>
    </w:lvl>
    <w:lvl w:ilvl="1" w:tplc="041A0019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041A001B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</w:lvl>
    <w:lvl w:ilvl="3" w:tplc="041A000F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041A0019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041A001B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</w:lvl>
    <w:lvl w:ilvl="6" w:tplc="041A000F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041A0019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041A001B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</w:lvl>
  </w:abstractNum>
  <w:abstractNum w:abstractNumId="3" w15:restartNumberingAfterBreak="0">
    <w:nsid w:val="00000004"/>
    <w:multiLevelType w:val="hybridMultilevel"/>
    <w:tmpl w:val="75465CF2"/>
    <w:lvl w:ilvl="0" w:tplc="041A0017">
      <w:start w:val="1"/>
      <w:numFmt w:val="lowerLetter"/>
      <w:lvlText w:val="%1)"/>
      <w:lvlJc w:val="left"/>
      <w:pPr>
        <w:spacing w:beforeAutospacing="0" w:afterAutospacing="0" w:line="240" w:lineRule="auto"/>
        <w:ind w:left="720" w:hanging="360"/>
      </w:pPr>
    </w:lvl>
    <w:lvl w:ilvl="1" w:tplc="041A0019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041A001B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</w:lvl>
    <w:lvl w:ilvl="3" w:tplc="041A000F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041A0019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041A001B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</w:lvl>
    <w:lvl w:ilvl="6" w:tplc="041A000F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041A0019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041A001B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</w:lvl>
  </w:abstractNum>
  <w:num w:numId="1" w16cid:durableId="1211107934">
    <w:abstractNumId w:val="0"/>
  </w:num>
  <w:num w:numId="2" w16cid:durableId="1563180443">
    <w:abstractNumId w:val="1"/>
  </w:num>
  <w:num w:numId="3" w16cid:durableId="1178235616">
    <w:abstractNumId w:val="2"/>
  </w:num>
  <w:num w:numId="4" w16cid:durableId="1615095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25"/>
    <w:rsid w:val="00047711"/>
    <w:rsid w:val="002D0A25"/>
    <w:rsid w:val="00412547"/>
    <w:rsid w:val="00A66757"/>
    <w:rsid w:val="00B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305C"/>
  <w15:docId w15:val="{396F9BD6-30CF-4717-897E-57EAD1DC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OpSelnica</cp:lastModifiedBy>
  <cp:revision>2</cp:revision>
  <dcterms:created xsi:type="dcterms:W3CDTF">2025-01-27T17:14:00Z</dcterms:created>
  <dcterms:modified xsi:type="dcterms:W3CDTF">2025-01-27T17:14:00Z</dcterms:modified>
</cp:coreProperties>
</file>